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仿宋_GB2312" w:hAnsi="仿宋_GB2312" w:eastAsia="仿宋_GB2312"/>
          <w:color w:val="auto"/>
          <w:kern w:val="0"/>
          <w:sz w:val="32"/>
        </w:rPr>
      </w:pPr>
      <w:r>
        <w:rPr>
          <w:rFonts w:hint="eastAsia" w:ascii="仿宋_GB2312" w:hAnsi="仿宋_GB2312" w:eastAsia="仿宋_GB2312"/>
          <w:color w:val="auto"/>
          <w:kern w:val="0"/>
          <w:sz w:val="32"/>
        </w:rPr>
        <w:t>附件：</w:t>
      </w:r>
    </w:p>
    <w:p>
      <w:pPr>
        <w:pStyle w:val="2"/>
        <w:spacing w:beforeLines="0" w:afterLines="0"/>
        <w:rPr>
          <w:rFonts w:hint="eastAsia"/>
          <w:sz w:val="21"/>
        </w:rPr>
      </w:pPr>
    </w:p>
    <w:p>
      <w:pPr>
        <w:spacing w:beforeLines="0" w:afterLines="0" w:line="56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2023年卫生健康系列基层“双定向”职称</w:t>
      </w:r>
    </w:p>
    <w:p>
      <w:pPr>
        <w:spacing w:beforeLines="0" w:afterLines="0" w:line="560" w:lineRule="exact"/>
        <w:jc w:val="center"/>
        <w:rPr>
          <w:rFonts w:hint="eastAsia" w:ascii="方正小标宋简体" w:hAnsi="方正小标宋简体" w:eastAsia="方正小标宋简体"/>
          <w:color w:val="auto"/>
          <w:kern w:val="0"/>
          <w:sz w:val="44"/>
        </w:rPr>
      </w:pPr>
      <w:r>
        <w:rPr>
          <w:rFonts w:hint="eastAsia" w:ascii="方正小标宋简体" w:hAnsi="方正小标宋简体" w:eastAsia="方正小标宋简体"/>
          <w:color w:val="auto"/>
          <w:sz w:val="44"/>
        </w:rPr>
        <w:t>申报流程</w:t>
      </w:r>
    </w:p>
    <w:p>
      <w:pPr>
        <w:pStyle w:val="2"/>
        <w:spacing w:beforeLines="0" w:afterLines="0"/>
        <w:rPr>
          <w:rFonts w:hint="eastAsia"/>
          <w:sz w:val="21"/>
        </w:rPr>
      </w:pPr>
    </w:p>
    <w:p>
      <w:pPr>
        <w:spacing w:beforeLines="0" w:afterLines="0" w:line="560" w:lineRule="exact"/>
        <w:ind w:firstLine="601"/>
        <w:rPr>
          <w:rFonts w:hint="eastAsia" w:ascii="仿宋_GB2312" w:hAnsi="仿宋_GB2312" w:eastAsia="仿宋_GB2312"/>
          <w:color w:val="auto"/>
          <w:kern w:val="0"/>
          <w:sz w:val="32"/>
        </w:rPr>
      </w:pPr>
      <w:r>
        <w:rPr>
          <w:rFonts w:hint="eastAsia" w:ascii="黑体" w:hAnsi="黑体" w:eastAsia="黑体"/>
          <w:color w:val="auto"/>
          <w:kern w:val="0"/>
          <w:sz w:val="32"/>
        </w:rPr>
        <w:t>一、网上申报</w:t>
      </w:r>
    </w:p>
    <w:p>
      <w:pPr>
        <w:spacing w:beforeLines="0" w:afterLines="0" w:line="560" w:lineRule="exact"/>
        <w:ind w:firstLine="600"/>
        <w:jc w:val="left"/>
        <w:rPr>
          <w:rFonts w:hint="eastAsia" w:ascii="仿宋_GB2312" w:hAnsi="仿宋_GB2312" w:eastAsia="仿宋_GB2312"/>
          <w:color w:val="auto"/>
          <w:sz w:val="32"/>
        </w:rPr>
      </w:pPr>
      <w:r>
        <w:rPr>
          <w:rFonts w:hint="eastAsia" w:ascii="仿宋_GB2312" w:hAnsi="仿宋_GB2312" w:eastAsia="仿宋_GB2312"/>
          <w:color w:val="auto"/>
          <w:kern w:val="0"/>
          <w:sz w:val="32"/>
          <w:lang w:eastAsia="zh-CN"/>
        </w:rPr>
        <w:t>申报人</w:t>
      </w:r>
      <w:r>
        <w:rPr>
          <w:rFonts w:hint="eastAsia" w:ascii="仿宋_GB2312" w:hAnsi="仿宋_GB2312" w:eastAsia="仿宋_GB2312"/>
          <w:color w:val="auto"/>
          <w:kern w:val="0"/>
          <w:sz w:val="32"/>
        </w:rPr>
        <w:t>使用</w:t>
      </w:r>
      <w:r>
        <w:rPr>
          <w:rFonts w:hint="eastAsia" w:ascii="仿宋_GB2312" w:hAnsi="仿宋_GB2312" w:eastAsia="仿宋_GB2312"/>
          <w:color w:val="auto"/>
          <w:sz w:val="32"/>
          <w:lang w:eastAsia="zh-CN"/>
        </w:rPr>
        <w:t>昌吉回族自治州职称评审系统</w:t>
      </w:r>
      <w:r>
        <w:rPr>
          <w:rFonts w:hint="eastAsia" w:ascii="仿宋_GB2312" w:hAnsi="仿宋_GB2312" w:eastAsia="仿宋_GB2312"/>
          <w:color w:val="auto"/>
          <w:w w:val="80"/>
          <w:sz w:val="32"/>
        </w:rPr>
        <w:t>（</w:t>
      </w:r>
      <w:r>
        <w:rPr>
          <w:rFonts w:hint="eastAsia" w:ascii="仿宋_GB2312" w:hAnsi="仿宋_GB2312" w:eastAsia="仿宋_GB2312"/>
          <w:color w:val="auto"/>
          <w:sz w:val="32"/>
        </w:rPr>
        <w:t>https://cj.xjzcsq.com/cj/index.html</w:t>
      </w:r>
      <w:r>
        <w:rPr>
          <w:rFonts w:hint="eastAsia" w:ascii="仿宋_GB2312" w:hAnsi="仿宋_GB2312" w:eastAsia="仿宋_GB2312"/>
          <w:color w:val="auto"/>
          <w:w w:val="80"/>
          <w:sz w:val="32"/>
        </w:rPr>
        <w:t>）</w:t>
      </w:r>
      <w:r>
        <w:rPr>
          <w:rFonts w:hint="eastAsia" w:ascii="仿宋_GB2312" w:hAnsi="仿宋_GB2312" w:eastAsia="仿宋_GB2312"/>
          <w:color w:val="auto"/>
          <w:w w:val="80"/>
          <w:sz w:val="32"/>
          <w:lang w:val="en-US" w:eastAsia="zh-CN"/>
        </w:rPr>
        <w:t>----</w:t>
      </w:r>
      <w:r>
        <w:rPr>
          <w:rFonts w:hint="eastAsia" w:ascii="仿宋_GB2312" w:hAnsi="仿宋_GB2312" w:eastAsia="仿宋_GB2312"/>
          <w:color w:val="auto"/>
          <w:sz w:val="32"/>
        </w:rPr>
        <w:t>进行申报。根据要求，</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、申报单位需在系统内申请注册账号，</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申报后需由申报单位账号进行审核上报。</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（一）单位注册申报</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1.申报单位登录</w:t>
      </w:r>
      <w:r>
        <w:rPr>
          <w:rFonts w:hint="eastAsia" w:ascii="仿宋_GB2312" w:hAnsi="仿宋_GB2312" w:eastAsia="仿宋_GB2312"/>
          <w:color w:val="auto"/>
          <w:sz w:val="32"/>
          <w:lang w:eastAsia="zh-CN"/>
        </w:rPr>
        <w:t>昌吉回族自治州职称评审系统</w:t>
      </w:r>
      <w:r>
        <w:rPr>
          <w:rFonts w:hint="eastAsia" w:ascii="仿宋_GB2312" w:hAnsi="仿宋_GB2312" w:eastAsia="仿宋_GB2312"/>
          <w:color w:val="auto"/>
          <w:w w:val="80"/>
          <w:sz w:val="32"/>
        </w:rPr>
        <w:t>（</w:t>
      </w:r>
      <w:r>
        <w:rPr>
          <w:rFonts w:hint="eastAsia" w:ascii="仿宋_GB2312" w:hAnsi="仿宋_GB2312" w:eastAsia="仿宋_GB2312"/>
          <w:color w:val="auto"/>
          <w:sz w:val="32"/>
        </w:rPr>
        <w:t>https://cj.xjzcsq.com/cj/index.html</w:t>
      </w:r>
      <w:r>
        <w:rPr>
          <w:rFonts w:hint="eastAsia" w:ascii="仿宋_GB2312" w:hAnsi="仿宋_GB2312" w:eastAsia="仿宋_GB2312"/>
          <w:color w:val="auto"/>
          <w:w w:val="80"/>
          <w:sz w:val="32"/>
        </w:rPr>
        <w:t>）</w:t>
      </w:r>
      <w:r>
        <w:rPr>
          <w:rFonts w:hint="eastAsia" w:ascii="仿宋_GB2312" w:hAnsi="仿宋_GB2312" w:eastAsia="仿宋_GB2312"/>
          <w:color w:val="auto"/>
          <w:sz w:val="32"/>
        </w:rPr>
        <w:t>进行“单位注册”。</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2.注册时请认真阅读“注册须知”，了解注意事项。如实填写“管理员信息”和“单位信息”，其中在“材料接收部门</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也叫推荐单位</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”中选择本单位所在</w:t>
      </w:r>
      <w:r>
        <w:rPr>
          <w:rFonts w:hint="eastAsia" w:ascii="仿宋_GB2312" w:hAnsi="仿宋_GB2312" w:eastAsia="仿宋_GB2312"/>
          <w:color w:val="auto"/>
          <w:sz w:val="32"/>
          <w:lang w:eastAsia="zh-CN"/>
        </w:rPr>
        <w:t>县（市）</w:t>
      </w:r>
      <w:r>
        <w:rPr>
          <w:rFonts w:hint="eastAsia" w:ascii="仿宋_GB2312" w:hAnsi="仿宋_GB2312" w:eastAsia="仿宋_GB2312"/>
          <w:color w:val="auto"/>
          <w:sz w:val="32"/>
        </w:rPr>
        <w:t>人社局职称办，并上传本单位机构代码证或营业执照。</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3.已注册单位，须对单位名称、联系人及联系电话进行核实、修改，确认正确后再受理、审核本单位申报资料。具体在“我的信息”中提交修改，并上传现单位最新机构代码证或营业执照，等待系统审核通过之后使用。</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（二）</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注册申报</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1.</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登录</w:t>
      </w:r>
      <w:r>
        <w:rPr>
          <w:rFonts w:hint="eastAsia" w:ascii="仿宋_GB2312" w:hAnsi="仿宋_GB2312" w:eastAsia="仿宋_GB2312"/>
          <w:color w:val="auto"/>
          <w:sz w:val="32"/>
          <w:lang w:eastAsia="zh-CN"/>
        </w:rPr>
        <w:t>昌吉回族自治州职称评审系统</w:t>
      </w:r>
      <w:r>
        <w:rPr>
          <w:rFonts w:hint="eastAsia" w:ascii="仿宋_GB2312" w:hAnsi="仿宋_GB2312" w:eastAsia="仿宋_GB2312"/>
          <w:color w:val="auto"/>
          <w:w w:val="80"/>
          <w:sz w:val="32"/>
        </w:rPr>
        <w:t>（</w:t>
      </w:r>
      <w:r>
        <w:rPr>
          <w:rFonts w:hint="eastAsia" w:ascii="仿宋_GB2312" w:hAnsi="仿宋_GB2312" w:eastAsia="仿宋_GB2312"/>
          <w:color w:val="auto"/>
          <w:sz w:val="32"/>
        </w:rPr>
        <w:t>https://cj.xjzcsq.com/cj/index.html</w:t>
      </w:r>
      <w:r>
        <w:rPr>
          <w:rFonts w:hint="eastAsia" w:ascii="仿宋_GB2312" w:hAnsi="仿宋_GB2312" w:eastAsia="仿宋_GB2312"/>
          <w:color w:val="auto"/>
          <w:w w:val="80"/>
          <w:sz w:val="32"/>
        </w:rPr>
        <w:t>）</w:t>
      </w:r>
      <w:r>
        <w:rPr>
          <w:rFonts w:hint="eastAsia" w:ascii="仿宋_GB2312" w:hAnsi="仿宋_GB2312" w:eastAsia="仿宋_GB2312"/>
          <w:color w:val="auto"/>
          <w:sz w:val="32"/>
        </w:rPr>
        <w:t>进行“个人注册”。注册前请认真阅读“注册须知”，了解注意事项。</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2.注册成功后，登录申报系统，</w:t>
      </w:r>
      <w:r>
        <w:rPr>
          <w:rFonts w:hint="eastAsia" w:ascii="仿宋_GB2312" w:hAnsi="仿宋_GB2312" w:eastAsia="仿宋_GB2312"/>
          <w:color w:val="auto"/>
          <w:sz w:val="32"/>
          <w:lang w:eastAsia="zh-CN"/>
        </w:rPr>
        <w:t>点击“职称申报”，选择</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highlight w:val="none"/>
          <w:lang w:eastAsia="zh-CN"/>
        </w:rPr>
        <w:t>双定向（基层专用）</w:t>
      </w:r>
      <w:r>
        <w:rPr>
          <w:rFonts w:hint="eastAsia" w:ascii="仿宋_GB2312" w:hAnsi="仿宋_GB2312" w:eastAsia="仿宋_GB2312"/>
          <w:color w:val="auto"/>
          <w:sz w:val="32"/>
          <w:highlight w:val="none"/>
        </w:rPr>
        <w:t>”，</w:t>
      </w:r>
      <w:r>
        <w:rPr>
          <w:rFonts w:hint="eastAsia" w:ascii="仿宋_GB2312" w:hAnsi="仿宋_GB2312" w:eastAsia="仿宋_GB2312"/>
          <w:color w:val="auto"/>
          <w:sz w:val="32"/>
        </w:rPr>
        <w:t>选择“新增申请书”，仔细阅读提示信息后进入申报界面。</w:t>
      </w:r>
    </w:p>
    <w:p>
      <w:pPr>
        <w:keepNext w:val="0"/>
        <w:keepLines w:val="0"/>
        <w:pageBreakBefore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根据界面提示，选择要申报的专业（系列）和任职资格，并点击“我要申报”，根据系统提示，如实填写申报信息，并按要求上传相关附件。凡要求上传附件的必须上传，不得遗漏，附件内容必须清晰可辨</w:t>
      </w:r>
      <w:r>
        <w:rPr>
          <w:rFonts w:hint="eastAsia" w:ascii="仿宋_GB2312" w:hAnsi="仿宋_GB2312" w:eastAsia="仿宋_GB2312" w:cs="仿宋_GB2312"/>
          <w:color w:val="auto"/>
          <w:sz w:val="32"/>
          <w:szCs w:val="32"/>
          <w:lang w:eastAsia="zh-CN"/>
        </w:rPr>
        <w:t>，并将附件中出现的本人姓名、工作单位、照片等信息进行遮盖处理</w:t>
      </w:r>
      <w:r>
        <w:rPr>
          <w:rFonts w:hint="eastAsia" w:ascii="仿宋_GB2312" w:hAnsi="仿宋_GB2312" w:eastAsia="仿宋_GB2312" w:cs="仿宋_GB2312"/>
          <w:color w:val="auto"/>
          <w:sz w:val="32"/>
          <w:szCs w:val="32"/>
        </w:rPr>
        <w:t>。</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4.</w:t>
      </w:r>
      <w:r>
        <w:rPr>
          <w:rFonts w:hint="eastAsia" w:ascii="仿宋_GB2312" w:hAnsi="仿宋_GB2312" w:eastAsia="仿宋_GB2312"/>
          <w:color w:val="auto"/>
          <w:sz w:val="32"/>
          <w:lang w:eastAsia="zh-CN"/>
        </w:rPr>
        <w:t>申报人</w:t>
      </w:r>
      <w:r>
        <w:rPr>
          <w:rFonts w:hint="eastAsia" w:ascii="仿宋_GB2312" w:hAnsi="仿宋_GB2312" w:eastAsia="仿宋_GB2312"/>
          <w:color w:val="auto"/>
          <w:kern w:val="0"/>
          <w:sz w:val="32"/>
        </w:rPr>
        <w:t>完成各项信息填写并上传附件后，要再次认真核对填报的所有信息，确认信息准确无误后在“我的申请书”中选择“上报”。申请书提交评审委员会次数不得超过3次，对于第3次提交后申报材料仍不符合要求被退回的，本年度不再受理</w:t>
      </w:r>
      <w:r>
        <w:rPr>
          <w:rFonts w:hint="eastAsia" w:ascii="仿宋_GB2312" w:hAnsi="仿宋_GB2312" w:eastAsia="仿宋_GB2312"/>
          <w:color w:val="auto"/>
          <w:sz w:val="32"/>
        </w:rPr>
        <w:t>。</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5.已提交上报的材料，需由单位管理员通过“单位管理员账号”进行审核，审核无误后提交至</w:t>
      </w:r>
      <w:r>
        <w:rPr>
          <w:rFonts w:hint="eastAsia" w:ascii="仿宋_GB2312" w:hAnsi="仿宋_GB2312" w:eastAsia="仿宋_GB2312"/>
          <w:color w:val="auto"/>
          <w:sz w:val="32"/>
          <w:lang w:eastAsia="zh-CN"/>
        </w:rPr>
        <w:t>县（市）</w:t>
      </w:r>
      <w:r>
        <w:rPr>
          <w:rFonts w:hint="eastAsia" w:ascii="仿宋_GB2312" w:hAnsi="仿宋_GB2312" w:eastAsia="仿宋_GB2312"/>
          <w:color w:val="auto"/>
          <w:sz w:val="32"/>
        </w:rPr>
        <w:t>人社局审核。</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（三）系统使用注意事项</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1.网上申报系统对浏览器版本要求较高，建议使用最新版本的浏览器。</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2.确保电脑已经安装最新版本的Flash和PDF格式软件。</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3.注册账号请使用常用邮箱注册，如遇到账号遗失可以通过邮箱找回。</w:t>
      </w:r>
    </w:p>
    <w:p>
      <w:pPr>
        <w:spacing w:beforeLines="0" w:afterLines="0" w:line="560" w:lineRule="exact"/>
        <w:ind w:firstLine="640" w:firstLineChars="200"/>
        <w:rPr>
          <w:rFonts w:hint="eastAsia" w:ascii="仿宋_GB2312" w:hAnsi="仿宋_GB2312" w:eastAsia="仿宋_GB2312"/>
          <w:color w:val="auto"/>
          <w:sz w:val="32"/>
        </w:rPr>
      </w:pPr>
      <w:r>
        <w:rPr>
          <w:rFonts w:hint="eastAsia" w:ascii="黑体" w:hAnsi="黑体" w:eastAsia="黑体"/>
          <w:color w:val="auto"/>
          <w:sz w:val="32"/>
        </w:rPr>
        <w:t>二、纸质材料报送</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在进行网上申报的同时，须将纸质材料提交所在单位进行审核。审核通过后将申报人的基本情况在</w:t>
      </w:r>
      <w:r>
        <w:rPr>
          <w:rFonts w:hint="eastAsia" w:ascii="仿宋_GB2312" w:hAnsi="仿宋_GB2312" w:eastAsia="仿宋_GB2312"/>
          <w:color w:val="auto"/>
          <w:sz w:val="32"/>
          <w:lang w:eastAsia="zh-CN"/>
        </w:rPr>
        <w:t>县卫生健康系统</w:t>
      </w:r>
      <w:r>
        <w:rPr>
          <w:rFonts w:hint="eastAsia" w:ascii="仿宋_GB2312" w:hAnsi="仿宋_GB2312" w:eastAsia="仿宋_GB2312"/>
          <w:color w:val="auto"/>
          <w:sz w:val="32"/>
        </w:rPr>
        <w:t>范围内进行不少于5个工作日的公示，公示期满无异议后按程序上报。单位须在《</w:t>
      </w:r>
      <w:r>
        <w:rPr>
          <w:rFonts w:hint="eastAsia" w:ascii="仿宋_GB2312" w:hAnsi="仿宋_GB2312" w:eastAsia="仿宋_GB2312"/>
          <w:color w:val="auto"/>
          <w:sz w:val="32"/>
          <w:lang w:val="en-US" w:eastAsia="zh-CN"/>
        </w:rPr>
        <w:t>昌吉州“双定向”专业技术职务任职资格评审表</w:t>
      </w:r>
      <w:r>
        <w:rPr>
          <w:rFonts w:hint="eastAsia" w:ascii="仿宋_GB2312" w:hAnsi="仿宋_GB2312" w:eastAsia="仿宋_GB2312"/>
          <w:color w:val="auto"/>
          <w:sz w:val="32"/>
        </w:rPr>
        <w:t>》的单位意见栏手工填写“本单位已对提供的申报材料逐一审核，真实准确，同意推荐”，并签字盖章。各单位统一将材料报送至单位所在</w:t>
      </w:r>
      <w:r>
        <w:rPr>
          <w:rFonts w:hint="eastAsia" w:ascii="仿宋_GB2312" w:hAnsi="仿宋_GB2312" w:eastAsia="仿宋_GB2312"/>
          <w:color w:val="auto"/>
          <w:sz w:val="32"/>
          <w:lang w:eastAsia="zh-CN"/>
        </w:rPr>
        <w:t>县（市）</w:t>
      </w:r>
      <w:r>
        <w:rPr>
          <w:rFonts w:hint="eastAsia" w:ascii="仿宋_GB2312" w:hAnsi="仿宋_GB2312" w:eastAsia="仿宋_GB2312"/>
          <w:color w:val="auto"/>
          <w:sz w:val="32"/>
        </w:rPr>
        <w:t>人社局职称办审核。</w:t>
      </w:r>
      <w:r>
        <w:rPr>
          <w:rFonts w:hint="eastAsia" w:ascii="仿宋_GB2312" w:hAnsi="仿宋_GB2312" w:eastAsia="仿宋_GB2312"/>
          <w:color w:val="auto"/>
          <w:sz w:val="32"/>
          <w:lang w:eastAsia="zh-CN"/>
        </w:rPr>
        <w:t>县（市）</w:t>
      </w:r>
      <w:r>
        <w:rPr>
          <w:rFonts w:hint="eastAsia" w:ascii="仿宋_GB2312" w:hAnsi="仿宋_GB2312" w:eastAsia="仿宋_GB2312"/>
          <w:color w:val="auto"/>
          <w:sz w:val="32"/>
        </w:rPr>
        <w:t>审核通过后，提交至州人力资源和社会保障服务中心进行终审。</w:t>
      </w:r>
      <w:r>
        <w:rPr>
          <w:rFonts w:hint="eastAsia" w:ascii="仿宋_GB2312" w:hAnsi="仿宋_GB2312" w:eastAsia="仿宋_GB2312"/>
          <w:color w:val="auto"/>
          <w:sz w:val="32"/>
          <w:lang w:eastAsia="zh-CN"/>
        </w:rPr>
        <w:t>具体报送材料如下：</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rPr>
        <w:t>（一）《</w:t>
      </w:r>
      <w:r>
        <w:rPr>
          <w:rFonts w:hint="eastAsia" w:ascii="仿宋_GB2312" w:hAnsi="仿宋_GB2312" w:eastAsia="仿宋_GB2312"/>
          <w:color w:val="auto"/>
          <w:sz w:val="32"/>
          <w:lang w:val="en-US" w:eastAsia="zh-CN"/>
        </w:rPr>
        <w:t>昌吉州“双定向”</w:t>
      </w:r>
      <w:r>
        <w:rPr>
          <w:rFonts w:hint="eastAsia" w:ascii="仿宋_GB2312" w:hAnsi="仿宋_GB2312" w:eastAsia="仿宋_GB2312"/>
          <w:color w:val="auto"/>
          <w:sz w:val="32"/>
        </w:rPr>
        <w:t>专业技术职务任职资格评审表》1份，此表为上报审核后自动生成，由</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采用A4纸正反面打印，有水印方为有效</w:t>
      </w:r>
      <w:r>
        <w:rPr>
          <w:rFonts w:hint="eastAsia" w:ascii="仿宋_GB2312" w:hAnsi="仿宋_GB2312" w:eastAsia="仿宋_GB2312"/>
          <w:color w:val="auto"/>
          <w:sz w:val="32"/>
          <w:lang w:eastAsia="zh-CN"/>
        </w:rPr>
        <w:t>。</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rPr>
        <w:t>（二）公示、公示照片及公示结果</w:t>
      </w:r>
      <w:r>
        <w:rPr>
          <w:rFonts w:hint="eastAsia" w:ascii="仿宋_GB2312" w:hAnsi="仿宋_GB2312" w:eastAsia="仿宋_GB2312"/>
          <w:color w:val="auto"/>
          <w:sz w:val="32"/>
          <w:lang w:eastAsia="zh-CN"/>
        </w:rPr>
        <w:t>（上传）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olor w:val="auto"/>
          <w:sz w:val="32"/>
        </w:rPr>
        <w:t>（三）《毕业证书》</w:t>
      </w:r>
      <w:r>
        <w:rPr>
          <w:rFonts w:hint="eastAsia" w:ascii="仿宋_GB2312" w:hAnsi="仿宋_GB2312" w:eastAsia="仿宋_GB2312"/>
          <w:color w:val="auto"/>
          <w:sz w:val="32"/>
          <w:lang w:eastAsia="zh-CN"/>
        </w:rPr>
        <w:t>、《教育部学历证书电子注册备案表》（学历学位无法通过学信网在线验证的，需提供</w:t>
      </w:r>
      <w:r>
        <w:rPr>
          <w:rFonts w:hint="eastAsia" w:ascii="仿宋_GB2312" w:hAnsi="仿宋_GB2312" w:eastAsia="仿宋_GB2312" w:cs="仿宋_GB2312"/>
          <w:color w:val="auto"/>
          <w:sz w:val="32"/>
          <w:szCs w:val="32"/>
          <w:lang w:eastAsia="zh-CN"/>
        </w:rPr>
        <w:t>毕业生登记表</w:t>
      </w:r>
      <w:r>
        <w:rPr>
          <w:rFonts w:hint="eastAsia" w:ascii="仿宋_GB2312" w:hAnsi="仿宋_GB2312" w:eastAsia="仿宋_GB2312"/>
          <w:color w:val="auto"/>
          <w:sz w:val="32"/>
          <w:lang w:eastAsia="zh-CN"/>
        </w:rPr>
        <w:t>（</w:t>
      </w:r>
      <w:r>
        <w:rPr>
          <w:rFonts w:hint="eastAsia" w:ascii="仿宋_GB2312" w:hAnsi="仿宋_GB2312" w:eastAsia="仿宋_GB2312" w:cs="仿宋_GB2312"/>
          <w:color w:val="auto"/>
          <w:sz w:val="32"/>
          <w:szCs w:val="32"/>
        </w:rPr>
        <w:t>上传</w:t>
      </w:r>
      <w:r>
        <w:rPr>
          <w:rFonts w:hint="eastAsia" w:ascii="仿宋_GB2312" w:hAnsi="仿宋_GB2312" w:eastAsia="仿宋_GB2312" w:cs="仿宋_GB2312"/>
          <w:color w:val="auto"/>
          <w:sz w:val="32"/>
          <w:szCs w:val="32"/>
          <w:lang w:eastAsia="zh-CN"/>
        </w:rPr>
        <w:t>）</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（四）《专业技术职务任职资格证书》</w:t>
      </w:r>
      <w:r>
        <w:rPr>
          <w:rFonts w:hint="eastAsia" w:ascii="仿宋_GB2312" w:hAnsi="仿宋_GB2312" w:eastAsia="仿宋_GB2312"/>
          <w:color w:val="auto"/>
          <w:sz w:val="32"/>
          <w:lang w:eastAsia="zh-CN"/>
        </w:rPr>
        <w:t>（上传）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（五）任期内专业技术工作总结及论文、论著、课题报告等相关资料（</w:t>
      </w:r>
      <w:r>
        <w:rPr>
          <w:rFonts w:hint="eastAsia" w:ascii="仿宋_GB2312" w:hAnsi="仿宋_GB2312" w:eastAsia="仿宋_GB2312"/>
          <w:color w:val="auto"/>
          <w:sz w:val="32"/>
          <w:lang w:eastAsia="zh-CN"/>
        </w:rPr>
        <w:t>上传，须经县卫健委认定盖章</w:t>
      </w:r>
      <w:r>
        <w:rPr>
          <w:rFonts w:hint="eastAsia" w:ascii="仿宋_GB2312" w:hAnsi="仿宋_GB2312" w:eastAsia="仿宋_GB2312"/>
          <w:color w:val="auto"/>
          <w:sz w:val="32"/>
        </w:rPr>
        <w:t>）；</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（六）业绩成果材料、获奖证书或文件等相关资料（</w:t>
      </w:r>
      <w:r>
        <w:rPr>
          <w:rFonts w:hint="eastAsia" w:ascii="仿宋_GB2312" w:hAnsi="仿宋_GB2312" w:eastAsia="仿宋_GB2312"/>
          <w:color w:val="auto"/>
          <w:sz w:val="32"/>
          <w:lang w:eastAsia="zh-CN"/>
        </w:rPr>
        <w:t>上传，须经县卫健委认定盖章</w:t>
      </w:r>
      <w:r>
        <w:rPr>
          <w:rFonts w:hint="eastAsia" w:ascii="仿宋_GB2312" w:hAnsi="仿宋_GB2312" w:eastAsia="仿宋_GB2312"/>
          <w:color w:val="auto"/>
          <w:sz w:val="32"/>
        </w:rPr>
        <w:t>）；</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（七）《继续教育证书》或《继续教育学习免试审批表》（继续教育年限以本专业评审条件规定的专业工作年限为准，最多</w:t>
      </w:r>
      <w:r>
        <w:rPr>
          <w:rFonts w:hint="eastAsia" w:ascii="仿宋_GB2312" w:hAnsi="仿宋_GB2312" w:eastAsia="仿宋_GB2312"/>
          <w:color w:val="auto"/>
          <w:sz w:val="32"/>
          <w:lang w:eastAsia="zh-CN"/>
        </w:rPr>
        <w:t>上传</w:t>
      </w:r>
      <w:r>
        <w:rPr>
          <w:rFonts w:hint="eastAsia" w:ascii="仿宋_GB2312" w:hAnsi="仿宋_GB2312" w:eastAsia="仿宋_GB2312"/>
          <w:color w:val="auto"/>
          <w:sz w:val="32"/>
        </w:rPr>
        <w:t>不超过5年）</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（八）任期内《年度考核登记表》</w:t>
      </w:r>
      <w:r>
        <w:rPr>
          <w:rFonts w:hint="eastAsia" w:ascii="仿宋_GB2312" w:hAnsi="仿宋_GB2312" w:eastAsia="仿宋_GB2312"/>
          <w:color w:val="auto"/>
          <w:sz w:val="32"/>
          <w:lang w:eastAsia="zh-CN"/>
        </w:rPr>
        <w:t>（上传）</w:t>
      </w:r>
    </w:p>
    <w:p>
      <w:pPr>
        <w:pStyle w:val="2"/>
        <w:spacing w:beforeLines="0" w:afterLines="0" w:line="560" w:lineRule="exact"/>
        <w:ind w:firstLine="640"/>
        <w:rPr>
          <w:rFonts w:hint="eastAsia" w:ascii="仿宋_GB2312" w:hAnsi="仿宋_GB2312" w:eastAsia="仿宋_GB2312"/>
          <w:color w:val="auto"/>
          <w:sz w:val="32"/>
        </w:rPr>
      </w:pPr>
      <w:r>
        <w:rPr>
          <w:rFonts w:hint="eastAsia" w:ascii="仿宋_GB2312" w:hAnsi="仿宋_GB2312" w:eastAsia="仿宋_GB2312"/>
          <w:color w:val="auto"/>
          <w:sz w:val="32"/>
        </w:rPr>
        <w:t>（九）</w:t>
      </w:r>
      <w:r>
        <w:rPr>
          <w:rFonts w:hint="eastAsia" w:ascii="仿宋_GB2312" w:hAnsi="仿宋_GB2312" w:eastAsia="仿宋_GB2312"/>
          <w:color w:val="auto"/>
          <w:sz w:val="32"/>
          <w:lang w:eastAsia="zh-CN"/>
        </w:rPr>
        <w:t>县卫健委推荐</w:t>
      </w:r>
      <w:r>
        <w:rPr>
          <w:rFonts w:hint="eastAsia" w:ascii="仿宋_GB2312" w:hAnsi="仿宋_GB2312" w:eastAsia="仿宋_GB2312"/>
          <w:color w:val="auto"/>
          <w:sz w:val="32"/>
        </w:rPr>
        <w:t>会议纪要</w:t>
      </w:r>
      <w:r>
        <w:rPr>
          <w:rFonts w:hint="eastAsia" w:ascii="仿宋_GB2312" w:hAnsi="仿宋_GB2312" w:eastAsia="仿宋_GB2312"/>
          <w:color w:val="auto"/>
          <w:sz w:val="32"/>
          <w:lang w:eastAsia="zh-CN"/>
        </w:rPr>
        <w:t>（上传）</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rPr>
        <w:t>（十）</w:t>
      </w:r>
      <w:r>
        <w:rPr>
          <w:rFonts w:hint="eastAsia" w:ascii="仿宋_GB2312" w:hAnsi="仿宋_GB2312" w:eastAsia="仿宋_GB2312"/>
          <w:color w:val="auto"/>
          <w:sz w:val="32"/>
          <w:lang w:eastAsia="zh-CN"/>
        </w:rPr>
        <w:t>纪检部门</w:t>
      </w:r>
      <w:bookmarkStart w:id="0" w:name="_GoBack"/>
      <w:bookmarkEnd w:id="0"/>
      <w:r>
        <w:rPr>
          <w:rFonts w:hint="eastAsia" w:ascii="仿宋_GB2312" w:hAnsi="仿宋_GB2312" w:eastAsia="仿宋_GB2312"/>
          <w:color w:val="auto"/>
          <w:sz w:val="32"/>
        </w:rPr>
        <w:t>出具的廉洁自律证明材料</w:t>
      </w:r>
      <w:r>
        <w:rPr>
          <w:rFonts w:hint="eastAsia" w:ascii="仿宋_GB2312" w:hAnsi="仿宋_GB2312" w:eastAsia="仿宋_GB2312"/>
          <w:color w:val="auto"/>
          <w:sz w:val="32"/>
          <w:lang w:eastAsia="zh-CN"/>
        </w:rPr>
        <w:t>（上传）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lang w:eastAsia="zh-CN"/>
        </w:rPr>
        <w:t>（十一）《个人承诺书》</w:t>
      </w:r>
      <w:r>
        <w:rPr>
          <w:rFonts w:hint="eastAsia" w:ascii="仿宋_GB2312" w:hAnsi="仿宋_GB2312" w:eastAsia="仿宋_GB2312"/>
          <w:color w:val="auto"/>
          <w:sz w:val="32"/>
        </w:rPr>
        <w:t>（上传）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（十</w:t>
      </w:r>
      <w:r>
        <w:rPr>
          <w:rFonts w:hint="eastAsia" w:ascii="仿宋_GB2312" w:hAnsi="仿宋_GB2312" w:eastAsia="仿宋_GB2312"/>
          <w:color w:val="auto"/>
          <w:sz w:val="32"/>
          <w:lang w:eastAsia="zh-CN"/>
        </w:rPr>
        <w:t>二</w:t>
      </w:r>
      <w:r>
        <w:rPr>
          <w:rFonts w:hint="eastAsia" w:ascii="仿宋_GB2312" w:hAnsi="仿宋_GB2312" w:eastAsia="仿宋_GB2312"/>
          <w:color w:val="auto"/>
          <w:sz w:val="32"/>
        </w:rPr>
        <w:t>）其它相关材料</w:t>
      </w:r>
      <w:r>
        <w:rPr>
          <w:rFonts w:hint="eastAsia" w:ascii="仿宋_GB2312" w:hAnsi="仿宋_GB2312" w:eastAsia="仿宋_GB2312"/>
          <w:color w:val="auto"/>
          <w:sz w:val="32"/>
          <w:lang w:eastAsia="zh-CN"/>
        </w:rPr>
        <w:t>（上传）</w:t>
      </w:r>
    </w:p>
    <w:p>
      <w:pPr>
        <w:spacing w:beforeLines="0" w:afterLines="0" w:line="560" w:lineRule="exact"/>
        <w:ind w:firstLine="6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rPr>
        <w:t>申报人在填写评审材料时所填各项栏目应正向清晰上传相应佐证材料，因漏传、错传、未传导致的评审结果，由申报人承担。</w:t>
      </w:r>
    </w:p>
    <w:p/>
    <w:sectPr>
      <w:footerReference r:id="rId3" w:type="default"/>
      <w:pgSz w:w="11906" w:h="16838"/>
      <w:pgMar w:top="1440" w:right="1803" w:bottom="1440" w:left="1803" w:header="0" w:footer="992" w:gutter="0"/>
      <w:lnNumType w:countBy="0" w:distance="36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eastAsia"/>
        <w:sz w:val="18"/>
      </w:rPr>
    </w:pPr>
    <w:r>
      <w:rPr>
        <w:rFonts w:hint="default" w:eastAsia="宋体"/>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eastAsia" w:eastAsia="宋体"/>
                              <w:sz w:val="18"/>
                              <w:lang w:eastAsia="zh-CN"/>
                            </w:rPr>
                          </w:pPr>
                          <w:r>
                            <w:rPr>
                              <w:rFonts w:hint="eastAsia" w:eastAsia="宋体"/>
                              <w:sz w:val="18"/>
                              <w:lang w:eastAsia="zh-CN"/>
                            </w:rPr>
                            <w:t>—</w:t>
                          </w:r>
                          <w:r>
                            <w:rPr>
                              <w:rFonts w:hint="eastAsia" w:ascii="宋体" w:hAnsi="宋体" w:eastAsia="宋体"/>
                              <w:sz w:val="28"/>
                              <w:lang w:eastAsia="zh-CN"/>
                            </w:rPr>
                            <w:t xml:space="preserve">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8"/>
                              <w:lang w:eastAsia="zh-CN"/>
                            </w:rPr>
                            <w:t xml:space="preserve"> </w:t>
                          </w:r>
                          <w:r>
                            <w:rPr>
                              <w:rFonts w:hint="eastAsia" w:eastAsia="宋体"/>
                              <w:sz w:val="1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spacing w:beforeLines="0" w:afterLines="0"/>
                      <w:rPr>
                        <w:rFonts w:hint="eastAsia" w:eastAsia="宋体"/>
                        <w:sz w:val="18"/>
                        <w:lang w:eastAsia="zh-CN"/>
                      </w:rPr>
                    </w:pPr>
                    <w:r>
                      <w:rPr>
                        <w:rFonts w:hint="eastAsia" w:eastAsia="宋体"/>
                        <w:sz w:val="18"/>
                        <w:lang w:eastAsia="zh-CN"/>
                      </w:rPr>
                      <w:t>—</w:t>
                    </w:r>
                    <w:r>
                      <w:rPr>
                        <w:rFonts w:hint="eastAsia" w:ascii="宋体" w:hAnsi="宋体" w:eastAsia="宋体"/>
                        <w:sz w:val="28"/>
                        <w:lang w:eastAsia="zh-CN"/>
                      </w:rPr>
                      <w:t xml:space="preserve">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8"/>
                        <w:lang w:eastAsia="zh-CN"/>
                      </w:rPr>
                      <w:t xml:space="preserve"> </w:t>
                    </w:r>
                    <w:r>
                      <w:rPr>
                        <w:rFonts w:hint="eastAsia" w:eastAsia="宋体"/>
                        <w:sz w:val="1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9549D"/>
    <w:rsid w:val="1369549D"/>
    <w:rsid w:val="43D3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eastAsia" w:ascii="Times New Roman" w:hAnsi="Times New Roman" w:eastAsia="Times New Roman" w:cs="Times New Roman"/>
      <w:kern w:val="2"/>
      <w:sz w:val="21"/>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unhideWhenUsed/>
    <w:qFormat/>
    <w:uiPriority w:val="0"/>
    <w:pPr>
      <w:spacing w:beforeLines="0" w:afterLines="0"/>
      <w:ind w:firstLine="420" w:firstLineChars="200"/>
    </w:pPr>
    <w:rPr>
      <w:rFonts w:hint="eastAsia"/>
      <w:sz w:val="21"/>
    </w:rPr>
  </w:style>
  <w:style w:type="paragraph" w:styleId="3">
    <w:name w:val="footer"/>
    <w:basedOn w:val="1"/>
    <w:unhideWhenUsed/>
    <w:uiPriority w:val="99"/>
    <w:pPr>
      <w:tabs>
        <w:tab w:val="center" w:pos="4153"/>
        <w:tab w:val="right" w:pos="8306"/>
      </w:tabs>
      <w:snapToGrid w:val="0"/>
      <w:spacing w:beforeLines="0" w:afterLines="0"/>
      <w:jc w:val="left"/>
    </w:pPr>
    <w:rPr>
      <w:rFonts w:hint="eastAsia"/>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2023-09-11T04:16:00Z</dcterms:created>
  <dc:creator>admin</dc:creator>
  <cp:lastModifiedBy>admin</cp:lastModifiedBy>
  <dcterms:modified xsi:type="dcterms:W3CDTF">2023-10-19T04:00:19Z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